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2B68" w14:textId="7AA23D65" w:rsidR="009B3DFD" w:rsidRDefault="00DD7962">
      <w:r w:rsidRPr="00DD7962">
        <w:rPr>
          <w:noProof/>
        </w:rPr>
        <w:drawing>
          <wp:inline distT="0" distB="0" distL="0" distR="0" wp14:anchorId="31744699" wp14:editId="3BFF6204">
            <wp:extent cx="1266825" cy="656453"/>
            <wp:effectExtent l="0" t="0" r="0" b="0"/>
            <wp:docPr id="2" name="Picture 2" descr="G:\Brand guidelines &amp; logos\Northants Chamber logos\Est 1917 logo\NCC est 1917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rand guidelines &amp; logos\Northants Chamber logos\Est 1917 logo\NCC est 1917 logo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11" cy="6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953" w:rsidRPr="00997953">
        <w:rPr>
          <w:noProof/>
          <w:lang w:eastAsia="en-GB"/>
        </w:rPr>
        <w:drawing>
          <wp:inline distT="0" distB="0" distL="0" distR="0" wp14:anchorId="3E874381" wp14:editId="39B2DA13">
            <wp:extent cx="1289050" cy="628650"/>
            <wp:effectExtent l="0" t="0" r="6350" b="0"/>
            <wp:docPr id="6" name="Picture 6" descr="G:\Membership Milton Keynes\MK logos\MKC-logo-(Colour)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Membership Milton Keynes\MK logos\MKC-logo-(Colour)-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40" cy="63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BA4E" w14:textId="7191D6D2" w:rsidR="00A46F1B" w:rsidRPr="00DE67D6" w:rsidRDefault="0015038E">
      <w:pPr>
        <w:rPr>
          <w:rFonts w:ascii="Verdana" w:hAnsi="Verdana"/>
          <w:b/>
        </w:rPr>
      </w:pPr>
      <w:r w:rsidRPr="00DE67D6">
        <w:rPr>
          <w:rFonts w:ascii="Verdana" w:hAnsi="Verdana"/>
          <w:b/>
        </w:rPr>
        <w:t>International Trade Do</w:t>
      </w:r>
      <w:r w:rsidR="00933C74" w:rsidRPr="00DE67D6">
        <w:rPr>
          <w:rFonts w:ascii="Verdana" w:hAnsi="Verdana"/>
          <w:b/>
        </w:rPr>
        <w:t>cumentation Price</w:t>
      </w:r>
      <w:r w:rsidR="00833296" w:rsidRPr="00DE67D6">
        <w:rPr>
          <w:rFonts w:ascii="Verdana" w:hAnsi="Verdana"/>
          <w:b/>
        </w:rPr>
        <w:t xml:space="preserve"> </w:t>
      </w:r>
      <w:r w:rsidR="00933C74" w:rsidRPr="00DE67D6">
        <w:rPr>
          <w:rFonts w:ascii="Verdana" w:hAnsi="Verdana"/>
          <w:b/>
        </w:rPr>
        <w:t xml:space="preserve">list </w:t>
      </w:r>
      <w:r w:rsidR="00FE1E4A" w:rsidRPr="00DE67D6">
        <w:rPr>
          <w:rFonts w:ascii="Verdana" w:hAnsi="Verdana"/>
          <w:b/>
        </w:rPr>
        <w:t>1</w:t>
      </w:r>
      <w:r w:rsidR="00FE1E4A" w:rsidRPr="00DE67D6">
        <w:rPr>
          <w:rFonts w:ascii="Verdana" w:hAnsi="Verdana"/>
          <w:b/>
          <w:vertAlign w:val="superscript"/>
        </w:rPr>
        <w:t>st</w:t>
      </w:r>
      <w:r w:rsidR="00FE1E4A" w:rsidRPr="00DE67D6">
        <w:rPr>
          <w:rFonts w:ascii="Verdana" w:hAnsi="Verdana"/>
          <w:b/>
        </w:rPr>
        <w:t xml:space="preserve"> </w:t>
      </w:r>
      <w:r w:rsidR="00FE63E7" w:rsidRPr="00DE67D6">
        <w:rPr>
          <w:rFonts w:ascii="Verdana" w:hAnsi="Verdana"/>
          <w:b/>
        </w:rPr>
        <w:t>April</w:t>
      </w:r>
      <w:r w:rsidR="00FE1E4A" w:rsidRPr="00DE67D6">
        <w:rPr>
          <w:rFonts w:ascii="Verdana" w:hAnsi="Verdana"/>
          <w:b/>
        </w:rPr>
        <w:t xml:space="preserve"> 202</w:t>
      </w:r>
      <w:r w:rsidR="000F3D14">
        <w:rPr>
          <w:rFonts w:ascii="Verdana" w:hAnsi="Verdana"/>
          <w:b/>
        </w:rPr>
        <w:t>6</w:t>
      </w:r>
    </w:p>
    <w:p w14:paraId="2010E4F1" w14:textId="4F88C96E" w:rsidR="000C4CC7" w:rsidRPr="00DE67D6" w:rsidRDefault="00C82815">
      <w:r w:rsidRPr="00DE67D6">
        <w:t>If you request postage</w:t>
      </w:r>
      <w:r w:rsidR="000C4CC7" w:rsidRPr="00DE67D6">
        <w:t xml:space="preserve"> of </w:t>
      </w:r>
      <w:r w:rsidR="0094234F" w:rsidRPr="00DE67D6">
        <w:t>documents,</w:t>
      </w:r>
      <w:r w:rsidR="000C4CC7" w:rsidRPr="00DE67D6">
        <w:t xml:space="preserve"> we respectfully advise we are not responsible for documents once they have been collected by Royal Mail.  Special Delivery requests will incur Special Delivery fees</w:t>
      </w:r>
      <w:r w:rsidR="00EC6EAE" w:rsidRPr="00DE67D6">
        <w:t xml:space="preserve"> from £</w:t>
      </w:r>
      <w:r w:rsidR="000F3D14">
        <w:t>9.</w:t>
      </w:r>
      <w:r w:rsidR="00AB2140">
        <w:t>9</w:t>
      </w:r>
      <w:r w:rsidR="000F3D14">
        <w:t>5</w:t>
      </w:r>
      <w:r w:rsidR="00EC6EAE" w:rsidRPr="00DE67D6">
        <w:t xml:space="preserve"> plus VAT</w:t>
      </w:r>
    </w:p>
    <w:tbl>
      <w:tblPr>
        <w:tblStyle w:val="TableGrid"/>
        <w:tblW w:w="10372" w:type="dxa"/>
        <w:tblLook w:val="04A0" w:firstRow="1" w:lastRow="0" w:firstColumn="1" w:lastColumn="0" w:noHBand="0" w:noVBand="1"/>
      </w:tblPr>
      <w:tblGrid>
        <w:gridCol w:w="4260"/>
        <w:gridCol w:w="3236"/>
        <w:gridCol w:w="2876"/>
      </w:tblGrid>
      <w:tr w:rsidR="0015038E" w:rsidRPr="00DE67D6" w14:paraId="77A8C932" w14:textId="77777777" w:rsidTr="00DE67D6">
        <w:trPr>
          <w:trHeight w:val="531"/>
        </w:trPr>
        <w:tc>
          <w:tcPr>
            <w:tcW w:w="4260" w:type="dxa"/>
            <w:shd w:val="clear" w:color="auto" w:fill="EDEDED" w:themeFill="accent3" w:themeFillTint="33"/>
          </w:tcPr>
          <w:p w14:paraId="432BC732" w14:textId="3FBE686F" w:rsidR="0015038E" w:rsidRPr="00DE67D6" w:rsidRDefault="0015038E">
            <w:r w:rsidRPr="00DE67D6">
              <w:t>DOCUMENT</w:t>
            </w:r>
            <w:r w:rsidR="00CF4AB9" w:rsidRPr="00DE67D6">
              <w:t xml:space="preserve"> / SERVICE 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2BE8B731" w14:textId="77777777" w:rsidR="0015038E" w:rsidRPr="00DE67D6" w:rsidRDefault="0015038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MEMBER PRICE</w:t>
            </w:r>
          </w:p>
          <w:p w14:paraId="0185943F" w14:textId="421EE4BE" w:rsidR="0094234F" w:rsidRPr="00DE67D6" w:rsidRDefault="00E85EAA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(</w:t>
            </w:r>
            <w:r w:rsidR="0094234F" w:rsidRPr="00DE67D6">
              <w:rPr>
                <w:b/>
                <w:bCs/>
              </w:rPr>
              <w:t>All prices +</w:t>
            </w:r>
            <w:r w:rsidR="00A72A24" w:rsidRPr="00DE67D6">
              <w:rPr>
                <w:b/>
                <w:bCs/>
              </w:rPr>
              <w:t xml:space="preserve"> </w:t>
            </w:r>
            <w:r w:rsidR="00143A41" w:rsidRPr="00DE67D6">
              <w:rPr>
                <w:b/>
                <w:bCs/>
              </w:rPr>
              <w:t>VAT</w:t>
            </w:r>
            <w:r w:rsidR="0094234F" w:rsidRPr="00DE67D6">
              <w:rPr>
                <w:b/>
                <w:bCs/>
              </w:rPr>
              <w:t xml:space="preserve"> Except *</w:t>
            </w:r>
            <w:r w:rsidRPr="00DE67D6">
              <w:rPr>
                <w:b/>
                <w:bCs/>
              </w:rPr>
              <w:t>)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392EF3A1" w14:textId="1F41B8A2" w:rsidR="0015038E" w:rsidRPr="00DE67D6" w:rsidRDefault="0015038E" w:rsidP="00092D7A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NON</w:t>
            </w:r>
            <w:r w:rsidR="002A30DE" w:rsidRPr="00DE67D6">
              <w:rPr>
                <w:b/>
                <w:bCs/>
              </w:rPr>
              <w:t>-</w:t>
            </w:r>
            <w:r w:rsidRPr="00DE67D6">
              <w:rPr>
                <w:b/>
                <w:bCs/>
              </w:rPr>
              <w:t>MEMBER</w:t>
            </w:r>
          </w:p>
          <w:p w14:paraId="7C94E882" w14:textId="363A127C" w:rsidR="0094234F" w:rsidRPr="00DE67D6" w:rsidRDefault="00E85EAA" w:rsidP="00092D7A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(</w:t>
            </w:r>
            <w:r w:rsidR="0094234F" w:rsidRPr="00DE67D6">
              <w:rPr>
                <w:b/>
                <w:bCs/>
              </w:rPr>
              <w:t>All prices +</w:t>
            </w:r>
            <w:r w:rsidR="00A72A24" w:rsidRPr="00DE67D6">
              <w:rPr>
                <w:b/>
                <w:bCs/>
              </w:rPr>
              <w:t xml:space="preserve"> </w:t>
            </w:r>
            <w:r w:rsidR="00143A41" w:rsidRPr="00DE67D6">
              <w:rPr>
                <w:b/>
                <w:bCs/>
              </w:rPr>
              <w:t>VAT</w:t>
            </w:r>
            <w:r w:rsidR="0094234F" w:rsidRPr="00DE67D6">
              <w:rPr>
                <w:b/>
                <w:bCs/>
              </w:rPr>
              <w:t xml:space="preserve"> Except *</w:t>
            </w:r>
            <w:r w:rsidRPr="00DE67D6">
              <w:rPr>
                <w:b/>
                <w:bCs/>
              </w:rPr>
              <w:t>)</w:t>
            </w:r>
          </w:p>
        </w:tc>
      </w:tr>
      <w:tr w:rsidR="0015038E" w:rsidRPr="00DE67D6" w14:paraId="150C8E09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213B8637" w14:textId="7B601837" w:rsidR="0015038E" w:rsidRPr="00DE67D6" w:rsidRDefault="0015038E" w:rsidP="000C4CC7">
            <w:r w:rsidRPr="00DE67D6">
              <w:t>Certificate</w:t>
            </w:r>
            <w:r w:rsidR="000C4CC7" w:rsidRPr="00DE67D6">
              <w:t xml:space="preserve"> of</w:t>
            </w:r>
            <w:r w:rsidRPr="00DE67D6">
              <w:t xml:space="preserve"> Origin</w:t>
            </w:r>
            <w:r w:rsidR="003A0090">
              <w:t xml:space="preserve">/Invoices - </w:t>
            </w:r>
            <w:r w:rsidRPr="00DE67D6">
              <w:t>Express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0398B9FC" w14:textId="2BB47DC4" w:rsidR="0015038E" w:rsidRPr="00DE67D6" w:rsidRDefault="0015038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31.15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523AF66" w14:textId="1AA26A6E" w:rsidR="0015038E" w:rsidRPr="00DE67D6" w:rsidRDefault="0015038E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60.15</w:t>
            </w:r>
          </w:p>
        </w:tc>
      </w:tr>
      <w:tr w:rsidR="0015038E" w:rsidRPr="00DE67D6" w14:paraId="4DC46159" w14:textId="77777777" w:rsidTr="00DE67D6">
        <w:trPr>
          <w:trHeight w:val="387"/>
        </w:trPr>
        <w:tc>
          <w:tcPr>
            <w:tcW w:w="4260" w:type="dxa"/>
            <w:shd w:val="clear" w:color="auto" w:fill="EDEDED" w:themeFill="accent3" w:themeFillTint="33"/>
          </w:tcPr>
          <w:p w14:paraId="1DB1A8AB" w14:textId="0CCDF598" w:rsidR="0015038E" w:rsidRPr="00DE67D6" w:rsidRDefault="0015038E">
            <w:r w:rsidRPr="00DE67D6">
              <w:t>Certificate of Origin</w:t>
            </w:r>
            <w:r w:rsidR="003A0090">
              <w:t>/Invoices -</w:t>
            </w:r>
            <w:r w:rsidRPr="00DE67D6">
              <w:t xml:space="preserve"> Standard 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3A060D8" w14:textId="53001BFC" w:rsidR="0015038E" w:rsidRPr="00DE67D6" w:rsidRDefault="0015038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34.45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7AB00533" w14:textId="23B17A26" w:rsidR="0015038E" w:rsidRPr="00DE67D6" w:rsidRDefault="0015038E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60.15</w:t>
            </w:r>
          </w:p>
        </w:tc>
      </w:tr>
      <w:tr w:rsidR="0015038E" w:rsidRPr="00DE67D6" w14:paraId="3E5E3C35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01D77BDC" w14:textId="32A447F3" w:rsidR="0015038E" w:rsidRPr="00DE67D6" w:rsidRDefault="0015038E">
            <w:r w:rsidRPr="00DE67D6">
              <w:t>Extra Copy</w:t>
            </w:r>
            <w:r w:rsidR="00911DC3" w:rsidRPr="00DE67D6">
              <w:t xml:space="preserve"> each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2B7694F" w14:textId="1DFA1CAC" w:rsidR="0015038E" w:rsidRPr="00DE67D6" w:rsidRDefault="0015038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94234F" w:rsidRPr="00DE67D6">
              <w:rPr>
                <w:b/>
                <w:bCs/>
              </w:rPr>
              <w:t>7</w:t>
            </w:r>
            <w:r w:rsidRPr="00DE67D6">
              <w:rPr>
                <w:b/>
                <w:bCs/>
              </w:rPr>
              <w:t>.</w:t>
            </w:r>
            <w:r w:rsidR="0094234F" w:rsidRPr="00DE67D6">
              <w:rPr>
                <w:b/>
                <w:bCs/>
              </w:rPr>
              <w:t>5</w:t>
            </w:r>
            <w:r w:rsidRPr="00DE67D6">
              <w:rPr>
                <w:b/>
                <w:bCs/>
              </w:rPr>
              <w:t>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14FD2FF" w14:textId="15C3476D" w:rsidR="0015038E" w:rsidRPr="00DE67D6" w:rsidRDefault="0015038E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£1</w:t>
            </w:r>
            <w:r w:rsidR="0094234F" w:rsidRPr="00DE67D6">
              <w:rPr>
                <w:b/>
                <w:bCs/>
              </w:rPr>
              <w:t>5</w:t>
            </w:r>
            <w:r w:rsidRPr="00DE67D6">
              <w:rPr>
                <w:b/>
                <w:bCs/>
              </w:rPr>
              <w:t>.00</w:t>
            </w:r>
          </w:p>
        </w:tc>
      </w:tr>
      <w:tr w:rsidR="0015038E" w:rsidRPr="00DE67D6" w14:paraId="082F613B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4038803D" w14:textId="17AEB3C5" w:rsidR="0015038E" w:rsidRPr="00DE67D6" w:rsidRDefault="00533BDF">
            <w:r w:rsidRPr="00DE67D6">
              <w:t xml:space="preserve">UK </w:t>
            </w:r>
            <w:r w:rsidR="0015038E" w:rsidRPr="00DE67D6">
              <w:t>EUR</w:t>
            </w:r>
            <w:r w:rsidR="00DD51C9" w:rsidRPr="00DE67D6">
              <w:t>1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529C8CD6" w14:textId="3B5E5FC9" w:rsidR="0015038E" w:rsidRPr="00DE67D6" w:rsidRDefault="0015038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34.45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5AD3BE10" w14:textId="29FDD140" w:rsidR="0015038E" w:rsidRPr="00DE67D6" w:rsidRDefault="005A0B15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63.00</w:t>
            </w:r>
          </w:p>
        </w:tc>
      </w:tr>
      <w:tr w:rsidR="0094234F" w:rsidRPr="00DE67D6" w14:paraId="387DB826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60DD2496" w14:textId="3C08ED61" w:rsidR="0094234F" w:rsidRPr="00DE67D6" w:rsidRDefault="0094234F">
            <w:r w:rsidRPr="00DE67D6">
              <w:t xml:space="preserve">Reject Fee 1st </w:t>
            </w:r>
            <w:r w:rsidR="00C83700" w:rsidRPr="00DE67D6">
              <w:t>application</w:t>
            </w:r>
          </w:p>
          <w:p w14:paraId="5FCB7936" w14:textId="7DF0A69A" w:rsidR="0094234F" w:rsidRPr="00DE67D6" w:rsidRDefault="005301E4">
            <w:r w:rsidRPr="00DE67D6">
              <w:t>Reject Fee all</w:t>
            </w:r>
            <w:r w:rsidR="0094234F" w:rsidRPr="00DE67D6">
              <w:t xml:space="preserve"> </w:t>
            </w:r>
            <w:r w:rsidR="006D7A0F" w:rsidRPr="00DE67D6">
              <w:t>subsequent</w:t>
            </w:r>
            <w:r w:rsidR="0094234F" w:rsidRPr="00DE67D6">
              <w:t xml:space="preserve"> applications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7728E284" w14:textId="4E1AB12F" w:rsidR="0094234F" w:rsidRPr="00DE67D6" w:rsidRDefault="0094234F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5A0B15" w:rsidRPr="00DE67D6">
              <w:rPr>
                <w:b/>
                <w:bCs/>
              </w:rPr>
              <w:t>5.00</w:t>
            </w:r>
          </w:p>
          <w:p w14:paraId="1BF5EE67" w14:textId="7EFD087E" w:rsidR="0094234F" w:rsidRPr="00DE67D6" w:rsidRDefault="0094234F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£5.00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0B51FAC2" w14:textId="706881F6" w:rsidR="0094234F" w:rsidRPr="00DE67D6" w:rsidRDefault="00092D7A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5A0B15" w:rsidRPr="00DE67D6">
              <w:rPr>
                <w:b/>
                <w:bCs/>
              </w:rPr>
              <w:t>8</w:t>
            </w:r>
            <w:r w:rsidRPr="00DE67D6">
              <w:rPr>
                <w:b/>
                <w:bCs/>
              </w:rPr>
              <w:t>.50</w:t>
            </w:r>
          </w:p>
          <w:p w14:paraId="44C79A78" w14:textId="0A21D2C2" w:rsidR="00092D7A" w:rsidRPr="00DE67D6" w:rsidRDefault="00092D7A" w:rsidP="00092D7A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5A0B15" w:rsidRPr="00DE67D6">
              <w:rPr>
                <w:b/>
                <w:bCs/>
              </w:rPr>
              <w:t>8</w:t>
            </w:r>
            <w:r w:rsidRPr="00DE67D6">
              <w:rPr>
                <w:b/>
                <w:bCs/>
              </w:rPr>
              <w:t>.50</w:t>
            </w:r>
          </w:p>
        </w:tc>
      </w:tr>
      <w:tr w:rsidR="0094234F" w:rsidRPr="00DE67D6" w14:paraId="379ED6DC" w14:textId="77777777" w:rsidTr="00DE67D6">
        <w:trPr>
          <w:trHeight w:val="299"/>
        </w:trPr>
        <w:tc>
          <w:tcPr>
            <w:tcW w:w="4260" w:type="dxa"/>
            <w:shd w:val="clear" w:color="auto" w:fill="EDEDED" w:themeFill="accent3" w:themeFillTint="33"/>
          </w:tcPr>
          <w:p w14:paraId="2337D810" w14:textId="5D25B382" w:rsidR="0094234F" w:rsidRPr="00DE67D6" w:rsidRDefault="00D41674">
            <w:r>
              <w:t xml:space="preserve">E Cert Training </w:t>
            </w:r>
            <w:r w:rsidR="00CF4AB9" w:rsidRPr="00DE67D6">
              <w:t xml:space="preserve"> Fee (M</w:t>
            </w:r>
            <w:r>
              <w:t>in</w:t>
            </w:r>
            <w:r w:rsidR="00CF4AB9" w:rsidRPr="00DE67D6">
              <w:t xml:space="preserve"> 1Hr)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D0C193C" w14:textId="4BF272E2" w:rsidR="00CF4AB9" w:rsidRPr="00DE67D6" w:rsidRDefault="0094234F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4</w:t>
            </w:r>
            <w:r w:rsidR="005A0B15" w:rsidRPr="00DE67D6">
              <w:rPr>
                <w:b/>
                <w:bCs/>
              </w:rPr>
              <w:t>5</w:t>
            </w:r>
            <w:r w:rsidR="00CF4AB9" w:rsidRPr="00DE67D6">
              <w:rPr>
                <w:b/>
                <w:bCs/>
              </w:rPr>
              <w:t>.00</w:t>
            </w:r>
            <w:r w:rsidR="006D7A0F" w:rsidRPr="00DE67D6">
              <w:rPr>
                <w:b/>
                <w:bCs/>
              </w:rPr>
              <w:t xml:space="preserve"> Per Hour</w:t>
            </w:r>
          </w:p>
          <w:p w14:paraId="3068A3DF" w14:textId="2F2E2EC1" w:rsidR="0094234F" w:rsidRPr="00DE67D6" w:rsidRDefault="0094234F" w:rsidP="00D87D14">
            <w:pPr>
              <w:jc w:val="center"/>
              <w:rPr>
                <w:b/>
                <w:bCs/>
              </w:rPr>
            </w:pPr>
          </w:p>
        </w:tc>
        <w:tc>
          <w:tcPr>
            <w:tcW w:w="2876" w:type="dxa"/>
            <w:shd w:val="clear" w:color="auto" w:fill="FFF2CC" w:themeFill="accent4" w:themeFillTint="33"/>
          </w:tcPr>
          <w:p w14:paraId="62B59922" w14:textId="4634BFFB" w:rsidR="00CF4AB9" w:rsidRPr="00DE67D6" w:rsidRDefault="00CF4AB9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75</w:t>
            </w:r>
            <w:r w:rsidRPr="00DE67D6">
              <w:rPr>
                <w:b/>
                <w:bCs/>
              </w:rPr>
              <w:t>.00</w:t>
            </w:r>
            <w:r w:rsidR="006D7A0F" w:rsidRPr="00DE67D6">
              <w:rPr>
                <w:b/>
                <w:bCs/>
              </w:rPr>
              <w:t xml:space="preserve"> Per Hour</w:t>
            </w:r>
            <w:r w:rsidRPr="00DE67D6">
              <w:rPr>
                <w:b/>
                <w:bCs/>
              </w:rPr>
              <w:t xml:space="preserve"> </w:t>
            </w:r>
          </w:p>
          <w:p w14:paraId="3963757C" w14:textId="489BE587" w:rsidR="0094234F" w:rsidRPr="00DE67D6" w:rsidRDefault="0094234F" w:rsidP="00CF4AB9">
            <w:pPr>
              <w:jc w:val="center"/>
              <w:rPr>
                <w:b/>
                <w:bCs/>
              </w:rPr>
            </w:pPr>
          </w:p>
        </w:tc>
      </w:tr>
      <w:tr w:rsidR="0094234F" w:rsidRPr="00DE67D6" w14:paraId="0BA17EC8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12977C99" w14:textId="77777777" w:rsidR="0094234F" w:rsidRPr="00DE67D6" w:rsidRDefault="0094234F" w:rsidP="00993764">
            <w:r w:rsidRPr="00DE67D6">
              <w:t>Arab British Chamber Certification</w:t>
            </w:r>
          </w:p>
          <w:p w14:paraId="63A59454" w14:textId="4F69EB2D" w:rsidR="00E85EAA" w:rsidRPr="00DE67D6" w:rsidRDefault="00E85EAA" w:rsidP="00993764">
            <w:r w:rsidRPr="00DE67D6">
              <w:t>and/or Legalisation</w:t>
            </w:r>
            <w:r w:rsidR="00C83700" w:rsidRPr="00DE67D6">
              <w:t xml:space="preserve"> 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9A7DDFA" w14:textId="5A05133D" w:rsidR="00CF4AB9" w:rsidRPr="00DE67D6" w:rsidRDefault="0094234F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£ </w:t>
            </w:r>
            <w:r w:rsidR="000F3D14">
              <w:rPr>
                <w:b/>
                <w:bCs/>
              </w:rPr>
              <w:t>35.25</w:t>
            </w:r>
          </w:p>
          <w:p w14:paraId="6238559F" w14:textId="10AB05F2" w:rsidR="0094234F" w:rsidRPr="00DE67D6" w:rsidRDefault="00356C9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+ </w:t>
            </w:r>
            <w:r w:rsidR="0094234F" w:rsidRPr="00DE67D6">
              <w:rPr>
                <w:b/>
                <w:bCs/>
              </w:rPr>
              <w:t>ABCC fees</w:t>
            </w:r>
            <w:r w:rsidR="00143A41" w:rsidRPr="00DE67D6">
              <w:rPr>
                <w:b/>
                <w:bCs/>
              </w:rPr>
              <w:t xml:space="preserve"> + Embassy</w:t>
            </w:r>
            <w:r w:rsidR="004D6F8D" w:rsidRPr="00DE67D6">
              <w:rPr>
                <w:b/>
                <w:bCs/>
              </w:rPr>
              <w:t xml:space="preserve"> legalisation</w:t>
            </w:r>
            <w:r w:rsidR="00A72A24" w:rsidRPr="00DE67D6">
              <w:rPr>
                <w:b/>
                <w:bCs/>
              </w:rPr>
              <w:t>*</w:t>
            </w:r>
            <w:r w:rsidR="00D41674">
              <w:rPr>
                <w:b/>
                <w:bCs/>
              </w:rPr>
              <w:t>+ handling fee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4D1E467" w14:textId="4501078F" w:rsidR="00CF4AB9" w:rsidRPr="00DE67D6" w:rsidRDefault="0094234F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62.25</w:t>
            </w:r>
          </w:p>
          <w:p w14:paraId="26399F50" w14:textId="731ECFF3" w:rsidR="0094234F" w:rsidRPr="00DE67D6" w:rsidRDefault="00356C9E" w:rsidP="00CF4AB9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+ </w:t>
            </w:r>
            <w:r w:rsidR="0094234F" w:rsidRPr="00DE67D6">
              <w:rPr>
                <w:b/>
                <w:bCs/>
              </w:rPr>
              <w:t>ABCC fees</w:t>
            </w:r>
            <w:r w:rsidR="00D87D14" w:rsidRPr="00DE67D6">
              <w:rPr>
                <w:b/>
                <w:bCs/>
              </w:rPr>
              <w:t xml:space="preserve"> + Embassy </w:t>
            </w:r>
            <w:r w:rsidR="004D6F8D" w:rsidRPr="00DE67D6">
              <w:rPr>
                <w:b/>
                <w:bCs/>
              </w:rPr>
              <w:t>legalisation</w:t>
            </w:r>
            <w:r w:rsidR="00A72A24" w:rsidRPr="00DE67D6">
              <w:rPr>
                <w:b/>
                <w:bCs/>
              </w:rPr>
              <w:t>*</w:t>
            </w:r>
            <w:r w:rsidR="00D41674">
              <w:rPr>
                <w:b/>
                <w:bCs/>
              </w:rPr>
              <w:t>+ handling fee</w:t>
            </w:r>
          </w:p>
        </w:tc>
      </w:tr>
      <w:tr w:rsidR="00143A41" w:rsidRPr="00DE67D6" w14:paraId="6E6C1378" w14:textId="77777777" w:rsidTr="00DE67D6">
        <w:trPr>
          <w:trHeight w:val="335"/>
        </w:trPr>
        <w:tc>
          <w:tcPr>
            <w:tcW w:w="4260" w:type="dxa"/>
            <w:shd w:val="clear" w:color="auto" w:fill="EDEDED" w:themeFill="accent3" w:themeFillTint="33"/>
          </w:tcPr>
          <w:p w14:paraId="1D1845DE" w14:textId="59CC59F6" w:rsidR="00143A41" w:rsidRPr="00DE67D6" w:rsidRDefault="00143A41" w:rsidP="00143A41">
            <w:r w:rsidRPr="00DE67D6">
              <w:t>Embassy Legalisation Fees (</w:t>
            </w:r>
            <w:r w:rsidR="00A11D95" w:rsidRPr="00DE67D6">
              <w:t>any Embassy)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73D13C4" w14:textId="7C231CC4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0D2C0FF0" w14:textId="3F1E1DFB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1D1E59B7" w14:textId="77777777" w:rsidTr="00DE67D6">
        <w:trPr>
          <w:trHeight w:val="335"/>
        </w:trPr>
        <w:tc>
          <w:tcPr>
            <w:tcW w:w="4260" w:type="dxa"/>
            <w:shd w:val="clear" w:color="auto" w:fill="EDEDED" w:themeFill="accent3" w:themeFillTint="33"/>
          </w:tcPr>
          <w:p w14:paraId="4D897368" w14:textId="4301AEBB" w:rsidR="00143A41" w:rsidRPr="00DE67D6" w:rsidRDefault="00143A41" w:rsidP="00143A41">
            <w:r w:rsidRPr="00DE67D6">
              <w:t xml:space="preserve">Egyptian British Chamber Legalisation 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5DFB1594" w14:textId="304ED7EC" w:rsidR="00C83700" w:rsidRPr="00DE67D6" w:rsidRDefault="000F3D14" w:rsidP="00C837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£35.25</w:t>
            </w:r>
          </w:p>
          <w:p w14:paraId="2D1D31D4" w14:textId="77D8CCE6" w:rsidR="00143A41" w:rsidRPr="00DE67D6" w:rsidRDefault="00C83700" w:rsidP="00C83700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+ EBCC fees + Embass</w:t>
            </w:r>
            <w:r w:rsidR="004D6F8D" w:rsidRPr="00DE67D6">
              <w:rPr>
                <w:b/>
                <w:bCs/>
              </w:rPr>
              <w:t>y legalisation</w:t>
            </w:r>
            <w:r w:rsidR="00A72A24" w:rsidRPr="00DE67D6">
              <w:rPr>
                <w:b/>
                <w:bCs/>
              </w:rPr>
              <w:t>*</w:t>
            </w:r>
            <w:r w:rsidR="00D41674">
              <w:rPr>
                <w:b/>
                <w:bCs/>
              </w:rPr>
              <w:t>+ handling fee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771BB728" w14:textId="61C76CE2" w:rsidR="00C83700" w:rsidRPr="00DE67D6" w:rsidRDefault="00C83700" w:rsidP="00C83700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£ </w:t>
            </w:r>
            <w:r w:rsidR="000F3D14">
              <w:rPr>
                <w:b/>
                <w:bCs/>
              </w:rPr>
              <w:t>62.25</w:t>
            </w:r>
          </w:p>
          <w:p w14:paraId="540D4BB6" w14:textId="7D5D43EB" w:rsidR="00143A41" w:rsidRPr="00DE67D6" w:rsidRDefault="00C83700" w:rsidP="00C83700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+ EBCC fees + Embassy </w:t>
            </w:r>
            <w:r w:rsidR="004D6F8D" w:rsidRPr="00DE67D6">
              <w:rPr>
                <w:b/>
                <w:bCs/>
              </w:rPr>
              <w:t>legalisation</w:t>
            </w:r>
            <w:r w:rsidR="00A72A24" w:rsidRPr="00DE67D6">
              <w:rPr>
                <w:b/>
                <w:bCs/>
              </w:rPr>
              <w:t>*</w:t>
            </w:r>
            <w:r w:rsidR="00D41674">
              <w:rPr>
                <w:b/>
                <w:bCs/>
              </w:rPr>
              <w:t>+ handling fee</w:t>
            </w:r>
          </w:p>
        </w:tc>
      </w:tr>
      <w:tr w:rsidR="00143A41" w:rsidRPr="00DE67D6" w14:paraId="1F7983E4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306477BB" w14:textId="52799287" w:rsidR="00143A41" w:rsidRPr="00DE67D6" w:rsidRDefault="00143A41" w:rsidP="00143A41"/>
        </w:tc>
        <w:tc>
          <w:tcPr>
            <w:tcW w:w="3236" w:type="dxa"/>
            <w:shd w:val="clear" w:color="auto" w:fill="FFE599" w:themeFill="accent4" w:themeFillTint="66"/>
          </w:tcPr>
          <w:p w14:paraId="195207E5" w14:textId="60AC710B" w:rsidR="00143A41" w:rsidRPr="00DE67D6" w:rsidRDefault="00143A41" w:rsidP="00D87D14">
            <w:pPr>
              <w:jc w:val="center"/>
              <w:rPr>
                <w:b/>
                <w:bCs/>
              </w:rPr>
            </w:pPr>
          </w:p>
        </w:tc>
        <w:tc>
          <w:tcPr>
            <w:tcW w:w="2876" w:type="dxa"/>
            <w:shd w:val="clear" w:color="auto" w:fill="FFF2CC" w:themeFill="accent4" w:themeFillTint="33"/>
          </w:tcPr>
          <w:p w14:paraId="7B059030" w14:textId="1146B578" w:rsidR="00143A41" w:rsidRPr="00DE67D6" w:rsidRDefault="00143A41" w:rsidP="00143A41">
            <w:pPr>
              <w:jc w:val="center"/>
              <w:rPr>
                <w:b/>
                <w:bCs/>
              </w:rPr>
            </w:pPr>
          </w:p>
        </w:tc>
      </w:tr>
      <w:tr w:rsidR="00143A41" w:rsidRPr="00DE67D6" w14:paraId="6655AEDC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13C57E73" w14:textId="29F82E62" w:rsidR="00143A41" w:rsidRPr="00DE67D6" w:rsidRDefault="00143A41" w:rsidP="00143A41">
            <w:r w:rsidRPr="00DE67D6">
              <w:t>Foreign, Commonwealth &amp; Development Apostille</w:t>
            </w:r>
            <w:r w:rsidR="005A0B15" w:rsidRPr="00DE67D6">
              <w:t xml:space="preserve"> (standard service</w:t>
            </w:r>
            <w:r w:rsidR="00573F28" w:rsidRPr="00DE67D6">
              <w:t xml:space="preserve"> via ABCC)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42BEA51" w14:textId="6BA35AE1" w:rsidR="00143A41" w:rsidRPr="00DE67D6" w:rsidRDefault="00180317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  </w:t>
            </w:r>
            <w:r w:rsidR="00143A41" w:rsidRPr="00DE67D6">
              <w:rPr>
                <w:b/>
                <w:bCs/>
              </w:rPr>
              <w:t>£</w:t>
            </w:r>
            <w:r w:rsidR="005A0B15" w:rsidRPr="00DE67D6">
              <w:rPr>
                <w:b/>
                <w:bCs/>
              </w:rPr>
              <w:t>4</w:t>
            </w:r>
            <w:r w:rsidR="00801BCA" w:rsidRPr="00DE67D6">
              <w:rPr>
                <w:b/>
                <w:bCs/>
              </w:rPr>
              <w:t>0.00</w:t>
            </w:r>
            <w:r w:rsidR="00143A41" w:rsidRPr="00DE67D6">
              <w:rPr>
                <w:b/>
                <w:bCs/>
              </w:rPr>
              <w:t>*</w:t>
            </w:r>
          </w:p>
          <w:p w14:paraId="1A90B33C" w14:textId="7F30C48A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+</w:t>
            </w:r>
            <w:r w:rsidR="00730991">
              <w:rPr>
                <w:b/>
                <w:bCs/>
              </w:rPr>
              <w:t xml:space="preserve"> </w:t>
            </w:r>
            <w:r w:rsidRPr="00DE67D6">
              <w:rPr>
                <w:b/>
                <w:bCs/>
              </w:rPr>
              <w:t xml:space="preserve"> chamber fees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00D86549" w14:textId="28D9C469" w:rsidR="00143A41" w:rsidRPr="00DE67D6" w:rsidRDefault="00180317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  </w:t>
            </w:r>
            <w:r w:rsidR="00143A41" w:rsidRPr="00DE67D6">
              <w:rPr>
                <w:b/>
                <w:bCs/>
              </w:rPr>
              <w:t>£</w:t>
            </w:r>
            <w:r w:rsidR="005A0B15" w:rsidRPr="00DE67D6">
              <w:rPr>
                <w:b/>
                <w:bCs/>
              </w:rPr>
              <w:t>4</w:t>
            </w:r>
            <w:r w:rsidR="00801BCA" w:rsidRPr="00DE67D6">
              <w:rPr>
                <w:b/>
                <w:bCs/>
              </w:rPr>
              <w:t>0</w:t>
            </w:r>
            <w:r w:rsidR="00143A41" w:rsidRPr="00DE67D6">
              <w:rPr>
                <w:b/>
                <w:bCs/>
              </w:rPr>
              <w:t>.00*</w:t>
            </w:r>
          </w:p>
          <w:p w14:paraId="3C38B3C7" w14:textId="456881D3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+ chamber fees</w:t>
            </w:r>
          </w:p>
        </w:tc>
      </w:tr>
      <w:tr w:rsidR="00573F28" w:rsidRPr="00DE67D6" w14:paraId="32D97D74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222BFD0E" w14:textId="7F9DFB30" w:rsidR="00573F28" w:rsidRPr="00DE67D6" w:rsidRDefault="00573F28" w:rsidP="00143A41"/>
        </w:tc>
        <w:tc>
          <w:tcPr>
            <w:tcW w:w="3236" w:type="dxa"/>
            <w:shd w:val="clear" w:color="auto" w:fill="FFE599" w:themeFill="accent4" w:themeFillTint="66"/>
          </w:tcPr>
          <w:p w14:paraId="0C97D4BC" w14:textId="52CF8E96" w:rsidR="00801BCA" w:rsidRPr="00DE67D6" w:rsidRDefault="00801BCA" w:rsidP="00D87D14">
            <w:pPr>
              <w:jc w:val="center"/>
              <w:rPr>
                <w:b/>
                <w:bCs/>
              </w:rPr>
            </w:pPr>
          </w:p>
        </w:tc>
        <w:tc>
          <w:tcPr>
            <w:tcW w:w="2876" w:type="dxa"/>
            <w:shd w:val="clear" w:color="auto" w:fill="FFF2CC" w:themeFill="accent4" w:themeFillTint="33"/>
          </w:tcPr>
          <w:p w14:paraId="37C8F130" w14:textId="1CF73596" w:rsidR="00573F28" w:rsidRPr="00DE67D6" w:rsidRDefault="00573F28" w:rsidP="00143A41">
            <w:pPr>
              <w:jc w:val="center"/>
              <w:rPr>
                <w:b/>
                <w:bCs/>
              </w:rPr>
            </w:pPr>
          </w:p>
        </w:tc>
      </w:tr>
      <w:tr w:rsidR="00143A41" w:rsidRPr="00DE67D6" w14:paraId="52CE55CF" w14:textId="77777777" w:rsidTr="00DE67D6">
        <w:trPr>
          <w:trHeight w:val="297"/>
        </w:trPr>
        <w:tc>
          <w:tcPr>
            <w:tcW w:w="4260" w:type="dxa"/>
            <w:shd w:val="clear" w:color="auto" w:fill="EDEDED" w:themeFill="accent3" w:themeFillTint="33"/>
          </w:tcPr>
          <w:p w14:paraId="00221866" w14:textId="210B383B" w:rsidR="00143A41" w:rsidRPr="00DE67D6" w:rsidRDefault="00143A41" w:rsidP="00143A41">
            <w:r w:rsidRPr="00DE67D6">
              <w:t>Notary Service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370EB8CD" w14:textId="2A4EEC28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4AD46FB5" w14:textId="4D08D441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EC6EAE" w:rsidRPr="00DE67D6" w14:paraId="3711A511" w14:textId="77777777" w:rsidTr="00DE67D6">
        <w:trPr>
          <w:trHeight w:val="297"/>
        </w:trPr>
        <w:tc>
          <w:tcPr>
            <w:tcW w:w="4260" w:type="dxa"/>
            <w:shd w:val="clear" w:color="auto" w:fill="EDEDED" w:themeFill="accent3" w:themeFillTint="33"/>
          </w:tcPr>
          <w:p w14:paraId="62F540CF" w14:textId="15634D24" w:rsidR="00EC6EAE" w:rsidRPr="00DE67D6" w:rsidRDefault="00EC6EAE" w:rsidP="00143A41">
            <w:r w:rsidRPr="00DE67D6">
              <w:t>Letters of Good Standing/Other Letters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75C420E9" w14:textId="397994C1" w:rsidR="00EC6EAE" w:rsidRPr="00DE67D6" w:rsidRDefault="00EC6EAE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45</w:t>
            </w:r>
            <w:r w:rsidRPr="00DE67D6">
              <w:rPr>
                <w:b/>
                <w:bCs/>
              </w:rPr>
              <w:t>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002F7113" w14:textId="61600CDD" w:rsidR="00EC6EAE" w:rsidRPr="00DE67D6" w:rsidRDefault="00D41674" w:rsidP="00143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43A41" w:rsidRPr="00DE67D6" w14:paraId="09D9792F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50BEC4FC" w14:textId="439FF099" w:rsidR="00143A41" w:rsidRPr="00DE67D6" w:rsidRDefault="00143A41" w:rsidP="00143A41">
            <w:r w:rsidRPr="00DE67D6">
              <w:t>Saudi Visa Letter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197C8C5" w14:textId="224C9999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4</w:t>
            </w:r>
            <w:r w:rsidRPr="00DE67D6">
              <w:rPr>
                <w:b/>
                <w:bCs/>
              </w:rPr>
              <w:t>5.00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76FE0382" w14:textId="29A872C8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50</w:t>
            </w:r>
            <w:r w:rsidRPr="00DE67D6">
              <w:rPr>
                <w:b/>
                <w:bCs/>
              </w:rPr>
              <w:t xml:space="preserve">.00 </w:t>
            </w:r>
          </w:p>
        </w:tc>
      </w:tr>
      <w:tr w:rsidR="00143A41" w:rsidRPr="00DE67D6" w14:paraId="5681F95F" w14:textId="77777777" w:rsidTr="00DE67D6">
        <w:trPr>
          <w:trHeight w:val="274"/>
        </w:trPr>
        <w:tc>
          <w:tcPr>
            <w:tcW w:w="4260" w:type="dxa"/>
            <w:shd w:val="clear" w:color="auto" w:fill="EDEDED" w:themeFill="accent3" w:themeFillTint="33"/>
          </w:tcPr>
          <w:p w14:paraId="770AA35D" w14:textId="227401F7" w:rsidR="00143A41" w:rsidRPr="00DE67D6" w:rsidRDefault="00143A41" w:rsidP="000B7E4B">
            <w:r w:rsidRPr="00DE67D6">
              <w:rPr>
                <w:b/>
              </w:rPr>
              <w:t>ATA Carnet Issuing Fee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6E2A15D4" w14:textId="5BC9ADD5" w:rsidR="00143A41" w:rsidRPr="00DE67D6" w:rsidRDefault="00143A41" w:rsidP="00A46F1B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947BAC" w:rsidRPr="00DE67D6">
              <w:rPr>
                <w:b/>
                <w:bCs/>
              </w:rPr>
              <w:t>2</w:t>
            </w:r>
            <w:r w:rsidR="000F4F4D">
              <w:rPr>
                <w:b/>
                <w:bCs/>
              </w:rPr>
              <w:t>2</w:t>
            </w:r>
            <w:r w:rsidR="0002069C">
              <w:rPr>
                <w:b/>
                <w:bCs/>
              </w:rPr>
              <w:t>5</w:t>
            </w:r>
            <w:r w:rsidR="00947BAC" w:rsidRPr="00DE67D6">
              <w:rPr>
                <w:b/>
                <w:bCs/>
              </w:rPr>
              <w:t xml:space="preserve"> plus VAT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5F944759" w14:textId="5B256CA1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2069C">
              <w:rPr>
                <w:b/>
                <w:bCs/>
              </w:rPr>
              <w:t>3</w:t>
            </w:r>
            <w:r w:rsidR="000F4F4D">
              <w:rPr>
                <w:b/>
                <w:bCs/>
              </w:rPr>
              <w:t>70</w:t>
            </w:r>
            <w:r w:rsidR="00947BAC" w:rsidRPr="00DE67D6">
              <w:rPr>
                <w:b/>
                <w:bCs/>
              </w:rPr>
              <w:t xml:space="preserve"> plus VAT</w:t>
            </w:r>
          </w:p>
        </w:tc>
      </w:tr>
      <w:tr w:rsidR="00143A41" w:rsidRPr="00DE67D6" w14:paraId="08ECE0C4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53489BC2" w14:textId="5566D66C" w:rsidR="00143A41" w:rsidRPr="00DE67D6" w:rsidRDefault="00143A41" w:rsidP="00143A41">
            <w:pPr>
              <w:rPr>
                <w:b/>
              </w:rPr>
            </w:pPr>
            <w:r w:rsidRPr="00DE67D6">
              <w:t xml:space="preserve">ATA Carnet Security Fees </w:t>
            </w:r>
            <w:r w:rsidR="00573F28" w:rsidRPr="00DE67D6">
              <w:t>(</w:t>
            </w:r>
            <w:r w:rsidRPr="00DE67D6">
              <w:t xml:space="preserve">based on </w:t>
            </w:r>
            <w:r w:rsidR="00A72A24" w:rsidRPr="00DE67D6">
              <w:t xml:space="preserve">goods </w:t>
            </w:r>
            <w:r w:rsidR="00911DC3" w:rsidRPr="00DE67D6">
              <w:t>v</w:t>
            </w:r>
            <w:r w:rsidRPr="00DE67D6">
              <w:t>alue</w:t>
            </w:r>
            <w:r w:rsidR="00911DC3" w:rsidRPr="00DE67D6">
              <w:t>,</w:t>
            </w:r>
            <w:r w:rsidR="00A72A24" w:rsidRPr="00DE67D6">
              <w:t xml:space="preserve"> </w:t>
            </w:r>
            <w:r w:rsidR="00911DC3" w:rsidRPr="00DE67D6">
              <w:t>category &amp; c</w:t>
            </w:r>
            <w:r w:rsidRPr="00DE67D6">
              <w:t>ountry</w:t>
            </w:r>
            <w:r w:rsidR="00573F28" w:rsidRPr="00DE67D6">
              <w:t>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238C510C" w14:textId="5C5C9BBE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590DFE98" w14:textId="285E14F6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5F4D66F3" w14:textId="77777777" w:rsidTr="00DE67D6">
        <w:trPr>
          <w:trHeight w:val="363"/>
        </w:trPr>
        <w:tc>
          <w:tcPr>
            <w:tcW w:w="4260" w:type="dxa"/>
            <w:shd w:val="clear" w:color="auto" w:fill="EDEDED" w:themeFill="accent3" w:themeFillTint="33"/>
          </w:tcPr>
          <w:p w14:paraId="6E64A19C" w14:textId="77777777" w:rsidR="00143A41" w:rsidRPr="00DE67D6" w:rsidRDefault="00143A41" w:rsidP="00143A41">
            <w:r w:rsidRPr="00DE67D6">
              <w:t xml:space="preserve">ATA Carnet Express Issue Additional Fee </w:t>
            </w:r>
          </w:p>
          <w:p w14:paraId="027786FD" w14:textId="0CD35517" w:rsidR="000B7E4B" w:rsidRPr="00DE67D6" w:rsidRDefault="000B7E4B" w:rsidP="00143A41">
            <w:r w:rsidRPr="00DE67D6">
              <w:t>(required within 48 hours)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3E824BD6" w14:textId="35969EDA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95.00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27A425DD" w14:textId="7ED13426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1</w:t>
            </w:r>
            <w:r w:rsidR="000F3D14">
              <w:rPr>
                <w:b/>
                <w:bCs/>
              </w:rPr>
              <w:t>3</w:t>
            </w:r>
            <w:r w:rsidR="00D41674">
              <w:rPr>
                <w:b/>
                <w:bCs/>
              </w:rPr>
              <w:t>5.00</w:t>
            </w:r>
            <w:r w:rsidRPr="00DE67D6">
              <w:rPr>
                <w:b/>
                <w:bCs/>
              </w:rPr>
              <w:t xml:space="preserve"> </w:t>
            </w:r>
          </w:p>
        </w:tc>
      </w:tr>
      <w:tr w:rsidR="00143A41" w:rsidRPr="00DE67D6" w14:paraId="079A9C20" w14:textId="77777777" w:rsidTr="00DE67D6">
        <w:trPr>
          <w:trHeight w:val="622"/>
        </w:trPr>
        <w:tc>
          <w:tcPr>
            <w:tcW w:w="4260" w:type="dxa"/>
            <w:shd w:val="clear" w:color="auto" w:fill="EDEDED" w:themeFill="accent3" w:themeFillTint="33"/>
          </w:tcPr>
          <w:p w14:paraId="0D468AB0" w14:textId="70370279" w:rsidR="00143A41" w:rsidRPr="00DE67D6" w:rsidRDefault="00143A41" w:rsidP="00143A41">
            <w:pPr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ATA Carnet Large Carnet </w:t>
            </w:r>
            <w:r w:rsidR="00D41674">
              <w:rPr>
                <w:b/>
                <w:bCs/>
              </w:rPr>
              <w:t>Handling</w:t>
            </w:r>
            <w:r w:rsidRPr="00DE67D6">
              <w:rPr>
                <w:b/>
                <w:bCs/>
              </w:rPr>
              <w:t xml:space="preserve"> Fee</w:t>
            </w:r>
            <w:r w:rsidR="00D41674">
              <w:rPr>
                <w:b/>
                <w:bCs/>
              </w:rPr>
              <w:t xml:space="preserve"> inc. additional lists</w:t>
            </w:r>
          </w:p>
          <w:p w14:paraId="66433DA7" w14:textId="77777777" w:rsidR="00143A41" w:rsidRPr="00DE67D6" w:rsidRDefault="00143A41" w:rsidP="00143A41">
            <w:r w:rsidRPr="00DE67D6">
              <w:t>11-19 Exits (incl Transits)</w:t>
            </w:r>
          </w:p>
          <w:p w14:paraId="3773660C" w14:textId="3CA126F4" w:rsidR="00143A41" w:rsidRPr="00DE67D6" w:rsidRDefault="00143A41" w:rsidP="00143A41">
            <w:r w:rsidRPr="00DE67D6">
              <w:t>20 plus Exits (incl Transits)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0608CFA" w14:textId="6E9F6D87" w:rsidR="00143A41" w:rsidRPr="00DE67D6" w:rsidRDefault="00143A41" w:rsidP="00D87D14">
            <w:pPr>
              <w:jc w:val="center"/>
              <w:rPr>
                <w:b/>
                <w:bCs/>
              </w:rPr>
            </w:pPr>
          </w:p>
          <w:p w14:paraId="46644D52" w14:textId="77777777" w:rsidR="00D41674" w:rsidRDefault="00D41674" w:rsidP="00D87D14">
            <w:pPr>
              <w:jc w:val="center"/>
              <w:rPr>
                <w:b/>
                <w:bCs/>
              </w:rPr>
            </w:pPr>
          </w:p>
          <w:p w14:paraId="530D1AD3" w14:textId="0A764AA1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4</w:t>
            </w:r>
            <w:r w:rsidR="000F3D14">
              <w:rPr>
                <w:b/>
                <w:bCs/>
              </w:rPr>
              <w:t>5</w:t>
            </w:r>
            <w:r w:rsidRPr="00DE67D6">
              <w:rPr>
                <w:b/>
                <w:bCs/>
              </w:rPr>
              <w:t>.00</w:t>
            </w:r>
          </w:p>
          <w:p w14:paraId="611EB82B" w14:textId="1A63908E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80</w:t>
            </w:r>
            <w:r w:rsidR="00D41674">
              <w:rPr>
                <w:b/>
                <w:bCs/>
              </w:rPr>
              <w:t>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6AAB92A4" w14:textId="77777777" w:rsidR="00143A41" w:rsidRPr="00DE67D6" w:rsidRDefault="00143A41" w:rsidP="00143A41">
            <w:pPr>
              <w:jc w:val="center"/>
              <w:rPr>
                <w:b/>
                <w:bCs/>
              </w:rPr>
            </w:pPr>
          </w:p>
          <w:p w14:paraId="1EBBAD86" w14:textId="77777777" w:rsidR="00D41674" w:rsidRDefault="00D41674" w:rsidP="00143A41">
            <w:pPr>
              <w:jc w:val="center"/>
              <w:rPr>
                <w:b/>
                <w:bCs/>
              </w:rPr>
            </w:pPr>
          </w:p>
          <w:p w14:paraId="532589D9" w14:textId="32635F83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D41674">
              <w:rPr>
                <w:b/>
                <w:bCs/>
              </w:rPr>
              <w:t>5</w:t>
            </w:r>
            <w:r w:rsidR="000F3D14">
              <w:rPr>
                <w:b/>
                <w:bCs/>
              </w:rPr>
              <w:t>5</w:t>
            </w:r>
            <w:r w:rsidR="00D41674">
              <w:rPr>
                <w:b/>
                <w:bCs/>
              </w:rPr>
              <w:t>.00</w:t>
            </w:r>
          </w:p>
          <w:p w14:paraId="728C3358" w14:textId="46F0260A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90</w:t>
            </w:r>
            <w:r w:rsidR="00D41674">
              <w:rPr>
                <w:b/>
                <w:bCs/>
              </w:rPr>
              <w:t>.00</w:t>
            </w:r>
            <w:r w:rsidRPr="00DE67D6">
              <w:rPr>
                <w:b/>
                <w:bCs/>
              </w:rPr>
              <w:t xml:space="preserve"> </w:t>
            </w:r>
          </w:p>
        </w:tc>
      </w:tr>
      <w:tr w:rsidR="00E32645" w:rsidRPr="00DE67D6" w14:paraId="5FBC108F" w14:textId="77777777" w:rsidTr="00DE67D6">
        <w:trPr>
          <w:trHeight w:val="569"/>
        </w:trPr>
        <w:tc>
          <w:tcPr>
            <w:tcW w:w="4260" w:type="dxa"/>
            <w:shd w:val="clear" w:color="auto" w:fill="EDEDED" w:themeFill="accent3" w:themeFillTint="33"/>
          </w:tcPr>
          <w:p w14:paraId="59455EC1" w14:textId="5B71534A" w:rsidR="00E32645" w:rsidRPr="00E32645" w:rsidRDefault="00E32645" w:rsidP="00143A41">
            <w:pPr>
              <w:rPr>
                <w:b/>
                <w:bCs/>
              </w:rPr>
            </w:pPr>
            <w:r w:rsidRPr="00E32645">
              <w:rPr>
                <w:b/>
                <w:bCs/>
              </w:rPr>
              <w:t xml:space="preserve">ATA Carnet alteration fee after issue and before customs 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64C739DA" w14:textId="77777777" w:rsidR="00E32645" w:rsidRDefault="00E32645" w:rsidP="00D87D14">
            <w:pPr>
              <w:jc w:val="center"/>
              <w:rPr>
                <w:b/>
                <w:bCs/>
              </w:rPr>
            </w:pPr>
          </w:p>
          <w:p w14:paraId="5550E715" w14:textId="67E24D3E" w:rsidR="00E32645" w:rsidRPr="00DE67D6" w:rsidRDefault="00E32645" w:rsidP="00D87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2</w:t>
            </w:r>
            <w:r>
              <w:rPr>
                <w:b/>
                <w:bCs/>
              </w:rPr>
              <w:t>5.00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76B033E" w14:textId="77777777" w:rsidR="00E32645" w:rsidRDefault="00E32645" w:rsidP="00143A41">
            <w:pPr>
              <w:jc w:val="center"/>
              <w:rPr>
                <w:b/>
                <w:bCs/>
              </w:rPr>
            </w:pPr>
          </w:p>
          <w:p w14:paraId="1BBDE9B9" w14:textId="52C0220D" w:rsidR="00E32645" w:rsidRPr="00DE67D6" w:rsidRDefault="00E32645" w:rsidP="00143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3</w:t>
            </w:r>
            <w:r>
              <w:rPr>
                <w:b/>
                <w:bCs/>
              </w:rPr>
              <w:t>0.00</w:t>
            </w:r>
          </w:p>
        </w:tc>
      </w:tr>
      <w:tr w:rsidR="00143A41" w:rsidRPr="00DE67D6" w14:paraId="3CDE84C2" w14:textId="77777777" w:rsidTr="00DE67D6">
        <w:trPr>
          <w:trHeight w:val="569"/>
        </w:trPr>
        <w:tc>
          <w:tcPr>
            <w:tcW w:w="4260" w:type="dxa"/>
            <w:shd w:val="clear" w:color="auto" w:fill="EDEDED" w:themeFill="accent3" w:themeFillTint="33"/>
          </w:tcPr>
          <w:p w14:paraId="298E63AB" w14:textId="57BA3A92" w:rsidR="00143A41" w:rsidRPr="00DE67D6" w:rsidRDefault="00143A41" w:rsidP="00143A41">
            <w:r w:rsidRPr="00DE67D6">
              <w:t>Translation Service – commercial documents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5AD291E" w14:textId="77777777" w:rsidR="00F37C0A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 xml:space="preserve">£75.00 minimum </w:t>
            </w:r>
          </w:p>
          <w:p w14:paraId="56926F16" w14:textId="56B054AC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 for quotes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4ABC8246" w14:textId="3C05C9AC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5E9F79D1" w14:textId="77777777" w:rsidTr="00DE67D6">
        <w:trPr>
          <w:trHeight w:val="585"/>
        </w:trPr>
        <w:tc>
          <w:tcPr>
            <w:tcW w:w="4260" w:type="dxa"/>
            <w:shd w:val="clear" w:color="auto" w:fill="EDEDED" w:themeFill="accent3" w:themeFillTint="33"/>
          </w:tcPr>
          <w:p w14:paraId="5164337E" w14:textId="6AD2D7CC" w:rsidR="00143A41" w:rsidRPr="00DE67D6" w:rsidRDefault="00143A41" w:rsidP="00143A41">
            <w:r w:rsidRPr="00DE67D6">
              <w:rPr>
                <w:b/>
                <w:bCs/>
              </w:rPr>
              <w:t>Customs Dec</w:t>
            </w:r>
            <w:r w:rsidR="00EC6EAE" w:rsidRPr="00DE67D6">
              <w:rPr>
                <w:b/>
                <w:bCs/>
              </w:rPr>
              <w:t>larat</w:t>
            </w:r>
            <w:r w:rsidR="009D4781" w:rsidRPr="00DE67D6">
              <w:rPr>
                <w:b/>
                <w:bCs/>
              </w:rPr>
              <w:t>i</w:t>
            </w:r>
            <w:r w:rsidR="00EC6EAE" w:rsidRPr="00DE67D6">
              <w:rPr>
                <w:b/>
                <w:bCs/>
              </w:rPr>
              <w:t>on</w:t>
            </w:r>
            <w:r w:rsidRPr="00DE67D6">
              <w:rPr>
                <w:b/>
                <w:bCs/>
              </w:rPr>
              <w:t xml:space="preserve"> Service </w:t>
            </w:r>
            <w:r w:rsidRPr="00DE67D6">
              <w:t>(import and export)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0C1847A3" w14:textId="71BA54B5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A80EA0B" w14:textId="72EE53EC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7E5063EC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27112E41" w14:textId="3FB4A73F" w:rsidR="00143A41" w:rsidRPr="00DE67D6" w:rsidRDefault="00143A41" w:rsidP="00143A41">
            <w:r w:rsidRPr="00DE67D6">
              <w:t>Letter of Credit Service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59283998" w14:textId="0F548C0E" w:rsidR="00143A41" w:rsidRPr="00DE67D6" w:rsidRDefault="00D41674" w:rsidP="00D87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Call Chamber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77366F15" w14:textId="3FF2769A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52C33967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6D165921" w14:textId="6C45A53C" w:rsidR="00143A41" w:rsidRPr="00DE67D6" w:rsidRDefault="00143A41" w:rsidP="00143A41">
            <w:r w:rsidRPr="00DE67D6">
              <w:t>Foreign Exchange Service (FX)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0D6645B2" w14:textId="3F366C60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Complimentary Review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278C7723" w14:textId="4131117A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Call Chamber</w:t>
            </w:r>
          </w:p>
        </w:tc>
      </w:tr>
      <w:tr w:rsidR="00143A41" w:rsidRPr="00DE67D6" w14:paraId="47E40BD9" w14:textId="77777777" w:rsidTr="00DE67D6">
        <w:trPr>
          <w:trHeight w:val="283"/>
        </w:trPr>
        <w:tc>
          <w:tcPr>
            <w:tcW w:w="4260" w:type="dxa"/>
            <w:shd w:val="clear" w:color="auto" w:fill="EDEDED" w:themeFill="accent3" w:themeFillTint="33"/>
          </w:tcPr>
          <w:p w14:paraId="267E0D65" w14:textId="7FD479EF" w:rsidR="00143A41" w:rsidRPr="00DE67D6" w:rsidRDefault="00143A41" w:rsidP="00143A41">
            <w:r w:rsidRPr="00DE67D6">
              <w:t>Walk in/Same day fee (Cert of Origin)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CD4A186" w14:textId="51CAB377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4</w:t>
            </w:r>
            <w:r w:rsidR="00D41674">
              <w:rPr>
                <w:b/>
                <w:bCs/>
              </w:rPr>
              <w:t>5</w:t>
            </w:r>
            <w:r w:rsidRPr="00DE67D6">
              <w:rPr>
                <w:b/>
                <w:bCs/>
              </w:rPr>
              <w:t>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1445769C" w14:textId="711217BC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50</w:t>
            </w:r>
            <w:r w:rsidRPr="00DE67D6">
              <w:rPr>
                <w:b/>
                <w:bCs/>
              </w:rPr>
              <w:t xml:space="preserve">.00 </w:t>
            </w:r>
          </w:p>
        </w:tc>
      </w:tr>
      <w:tr w:rsidR="00143A41" w:rsidRPr="00DE67D6" w14:paraId="012C7DCF" w14:textId="77777777" w:rsidTr="00DE67D6">
        <w:trPr>
          <w:trHeight w:val="387"/>
        </w:trPr>
        <w:tc>
          <w:tcPr>
            <w:tcW w:w="4260" w:type="dxa"/>
            <w:shd w:val="clear" w:color="auto" w:fill="EDEDED" w:themeFill="accent3" w:themeFillTint="33"/>
          </w:tcPr>
          <w:p w14:paraId="25D3184C" w14:textId="47ADCF97" w:rsidR="00143A41" w:rsidRPr="00DE67D6" w:rsidRDefault="00143A41" w:rsidP="00143A41">
            <w:r w:rsidRPr="00DE67D6">
              <w:t>Walk in/Same day fee UK EUR1</w:t>
            </w:r>
            <w:r w:rsidR="00180317" w:rsidRPr="00DE67D6">
              <w:t xml:space="preserve"> (Any </w:t>
            </w:r>
            <w:r w:rsidRPr="00DE67D6">
              <w:t>Other Documen</w:t>
            </w:r>
            <w:r w:rsidR="00180317" w:rsidRPr="00DE67D6">
              <w:t>t)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2E57EF88" w14:textId="08685E7F" w:rsidR="00143A41" w:rsidRPr="00DE67D6" w:rsidRDefault="00143A41" w:rsidP="00D87D14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35</w:t>
            </w:r>
            <w:r w:rsidRPr="00DE67D6">
              <w:rPr>
                <w:b/>
                <w:bCs/>
              </w:rPr>
              <w:t>.00</w:t>
            </w:r>
          </w:p>
        </w:tc>
        <w:tc>
          <w:tcPr>
            <w:tcW w:w="2876" w:type="dxa"/>
            <w:shd w:val="clear" w:color="auto" w:fill="FFF2CC" w:themeFill="accent4" w:themeFillTint="33"/>
          </w:tcPr>
          <w:p w14:paraId="7E8CF8AA" w14:textId="762F4569" w:rsidR="00143A41" w:rsidRPr="00DE67D6" w:rsidRDefault="00143A41" w:rsidP="00143A41">
            <w:pPr>
              <w:jc w:val="center"/>
              <w:rPr>
                <w:b/>
                <w:bCs/>
              </w:rPr>
            </w:pPr>
            <w:r w:rsidRPr="00DE67D6">
              <w:rPr>
                <w:b/>
                <w:bCs/>
              </w:rPr>
              <w:t>£</w:t>
            </w:r>
            <w:r w:rsidR="000F3D14">
              <w:rPr>
                <w:b/>
                <w:bCs/>
              </w:rPr>
              <w:t>5</w:t>
            </w:r>
            <w:r w:rsidR="00E85EAA" w:rsidRPr="00DE67D6">
              <w:rPr>
                <w:b/>
                <w:bCs/>
              </w:rPr>
              <w:t>0</w:t>
            </w:r>
            <w:r w:rsidRPr="00DE67D6">
              <w:rPr>
                <w:b/>
                <w:bCs/>
              </w:rPr>
              <w:t xml:space="preserve">.00 </w:t>
            </w:r>
          </w:p>
        </w:tc>
      </w:tr>
    </w:tbl>
    <w:p w14:paraId="3D70AD9F" w14:textId="685B7EDE" w:rsidR="00707750" w:rsidRPr="00DE67D6" w:rsidRDefault="00707750" w:rsidP="00DE67D6"/>
    <w:sectPr w:rsidR="00707750" w:rsidRPr="00DE67D6" w:rsidSect="00911DC3">
      <w:pgSz w:w="11906" w:h="16838" w:code="9"/>
      <w:pgMar w:top="238" w:right="720" w:bottom="23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53"/>
    <w:rsid w:val="0001465E"/>
    <w:rsid w:val="0002069C"/>
    <w:rsid w:val="00026F2A"/>
    <w:rsid w:val="00076042"/>
    <w:rsid w:val="00092D7A"/>
    <w:rsid w:val="000A190E"/>
    <w:rsid w:val="000A38F4"/>
    <w:rsid w:val="000A6DB9"/>
    <w:rsid w:val="000B7E4B"/>
    <w:rsid w:val="000C4CC7"/>
    <w:rsid w:val="000F3D14"/>
    <w:rsid w:val="000F4F4D"/>
    <w:rsid w:val="00143A41"/>
    <w:rsid w:val="0015038E"/>
    <w:rsid w:val="001519B3"/>
    <w:rsid w:val="0015677D"/>
    <w:rsid w:val="00180317"/>
    <w:rsid w:val="00196B4D"/>
    <w:rsid w:val="001A2577"/>
    <w:rsid w:val="002147AD"/>
    <w:rsid w:val="00231E10"/>
    <w:rsid w:val="0023337E"/>
    <w:rsid w:val="002A30DE"/>
    <w:rsid w:val="002C1FC6"/>
    <w:rsid w:val="002D7AE0"/>
    <w:rsid w:val="00356C9E"/>
    <w:rsid w:val="0037516B"/>
    <w:rsid w:val="003A0090"/>
    <w:rsid w:val="003C1010"/>
    <w:rsid w:val="003D3F75"/>
    <w:rsid w:val="003D79B8"/>
    <w:rsid w:val="00423FA4"/>
    <w:rsid w:val="00436C53"/>
    <w:rsid w:val="00444DE3"/>
    <w:rsid w:val="004566DE"/>
    <w:rsid w:val="004C2C72"/>
    <w:rsid w:val="004D6F8D"/>
    <w:rsid w:val="005301E4"/>
    <w:rsid w:val="00533BDF"/>
    <w:rsid w:val="00536203"/>
    <w:rsid w:val="00573F28"/>
    <w:rsid w:val="00577F3E"/>
    <w:rsid w:val="00595636"/>
    <w:rsid w:val="005A0B15"/>
    <w:rsid w:val="005D48C5"/>
    <w:rsid w:val="005E0C86"/>
    <w:rsid w:val="005F4785"/>
    <w:rsid w:val="00605C4A"/>
    <w:rsid w:val="00625762"/>
    <w:rsid w:val="00642154"/>
    <w:rsid w:val="006434D6"/>
    <w:rsid w:val="006526B3"/>
    <w:rsid w:val="00664615"/>
    <w:rsid w:val="006A73F1"/>
    <w:rsid w:val="006B385E"/>
    <w:rsid w:val="006D7A0F"/>
    <w:rsid w:val="006E1D8D"/>
    <w:rsid w:val="006F71FC"/>
    <w:rsid w:val="00707750"/>
    <w:rsid w:val="00730991"/>
    <w:rsid w:val="0073432C"/>
    <w:rsid w:val="007E770F"/>
    <w:rsid w:val="00801BCA"/>
    <w:rsid w:val="00826FE6"/>
    <w:rsid w:val="00833296"/>
    <w:rsid w:val="008371A2"/>
    <w:rsid w:val="0086674B"/>
    <w:rsid w:val="008A344B"/>
    <w:rsid w:val="008A4F4C"/>
    <w:rsid w:val="00911DC3"/>
    <w:rsid w:val="00933C74"/>
    <w:rsid w:val="0094234F"/>
    <w:rsid w:val="00947BAC"/>
    <w:rsid w:val="00993764"/>
    <w:rsid w:val="0099479D"/>
    <w:rsid w:val="00997953"/>
    <w:rsid w:val="009B3DFD"/>
    <w:rsid w:val="009D4781"/>
    <w:rsid w:val="009E526A"/>
    <w:rsid w:val="00A11D95"/>
    <w:rsid w:val="00A358C2"/>
    <w:rsid w:val="00A407FC"/>
    <w:rsid w:val="00A40B17"/>
    <w:rsid w:val="00A46F1B"/>
    <w:rsid w:val="00A53DA9"/>
    <w:rsid w:val="00A57ADA"/>
    <w:rsid w:val="00A72A24"/>
    <w:rsid w:val="00A73E09"/>
    <w:rsid w:val="00AB2140"/>
    <w:rsid w:val="00AC1123"/>
    <w:rsid w:val="00AF5A53"/>
    <w:rsid w:val="00B2115B"/>
    <w:rsid w:val="00B25D52"/>
    <w:rsid w:val="00B640B9"/>
    <w:rsid w:val="00B76A18"/>
    <w:rsid w:val="00BA4D71"/>
    <w:rsid w:val="00BC4536"/>
    <w:rsid w:val="00BD0FB5"/>
    <w:rsid w:val="00BF1D94"/>
    <w:rsid w:val="00C36E06"/>
    <w:rsid w:val="00C82815"/>
    <w:rsid w:val="00C83700"/>
    <w:rsid w:val="00CE6FA3"/>
    <w:rsid w:val="00CF4AB9"/>
    <w:rsid w:val="00CF625F"/>
    <w:rsid w:val="00D04623"/>
    <w:rsid w:val="00D41674"/>
    <w:rsid w:val="00D87D14"/>
    <w:rsid w:val="00DB49A4"/>
    <w:rsid w:val="00DD2F2F"/>
    <w:rsid w:val="00DD51C9"/>
    <w:rsid w:val="00DD7962"/>
    <w:rsid w:val="00DE67D6"/>
    <w:rsid w:val="00E06789"/>
    <w:rsid w:val="00E32645"/>
    <w:rsid w:val="00E85EAA"/>
    <w:rsid w:val="00E87DE6"/>
    <w:rsid w:val="00EC6EAE"/>
    <w:rsid w:val="00ED3D5C"/>
    <w:rsid w:val="00F169C0"/>
    <w:rsid w:val="00F37C0A"/>
    <w:rsid w:val="00F44095"/>
    <w:rsid w:val="00FB31EA"/>
    <w:rsid w:val="00FE1E4A"/>
    <w:rsid w:val="00FE45F0"/>
    <w:rsid w:val="00FE63E7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6049"/>
  <w15:chartTrackingRefBased/>
  <w15:docId w15:val="{F7489319-1437-43A5-B77A-A8B6D87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9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CEC8-D34E-4C23-A8DD-846EE05E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Hodgkinson</dc:creator>
  <cp:keywords/>
  <dc:description/>
  <cp:lastModifiedBy>Victoria Hooton</cp:lastModifiedBy>
  <cp:revision>5</cp:revision>
  <cp:lastPrinted>2023-02-16T14:02:00Z</cp:lastPrinted>
  <dcterms:created xsi:type="dcterms:W3CDTF">2026-03-25T09:39:00Z</dcterms:created>
  <dcterms:modified xsi:type="dcterms:W3CDTF">2026-04-13T13:43:00Z</dcterms:modified>
</cp:coreProperties>
</file>